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Перелік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інших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,</w:t>
      </w:r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  <w:lang w:val="ru-RU" w:eastAsia="ru-RU" w:bidi="ar-SA"/>
        </w:rPr>
        <w:br/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вартість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, порядок </w:t>
      </w:r>
      <w:proofErr w:type="spellStart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b/>
          <w:bCs/>
          <w:color w:val="363636"/>
          <w:sz w:val="36"/>
          <w:lang w:val="ru-RU" w:eastAsia="ru-RU" w:bidi="ar-SA"/>
        </w:rPr>
        <w:t xml:space="preserve"> та оплати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    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   У ЗДО № 42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ток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хореографії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– 80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грн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гурток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англ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ійської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– 80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грн.;</w:t>
      </w:r>
    </w:p>
    <w:p w:rsidR="008D18E7" w:rsidRDefault="008D18E7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ПОЛОЖЕННЯ</w:t>
      </w:r>
      <w:r w:rsidRPr="00606A95">
        <w:rPr>
          <w:rFonts w:ascii="inherit" w:eastAsia="Times New Roman" w:hAnsi="inherit" w:cs="Times New Roman"/>
          <w:b/>
          <w:bCs/>
          <w:color w:val="363636"/>
          <w:sz w:val="36"/>
          <w:szCs w:val="36"/>
          <w:bdr w:val="none" w:sz="0" w:space="0" w:color="auto" w:frame="1"/>
          <w:lang w:val="ru-RU" w:eastAsia="ru-RU" w:bidi="ar-SA"/>
        </w:rPr>
        <w:br/>
      </w:r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про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надання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додаткових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освітніх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платних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послуг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szCs w:val="36"/>
          <w:bdr w:val="none" w:sz="0" w:space="0" w:color="auto" w:frame="1"/>
          <w:lang w:val="ru-RU" w:eastAsia="ru-RU" w:bidi="ar-SA"/>
        </w:rPr>
        <w:br/>
      </w:r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закладом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дошкільної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освіти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№ </w:t>
      </w:r>
      <w:r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42</w:t>
      </w:r>
      <w:r w:rsidRPr="00606A95">
        <w:rPr>
          <w:rFonts w:ascii="inherit" w:eastAsia="Times New Roman" w:hAnsi="inherit" w:cs="Times New Roman"/>
          <w:b/>
          <w:bCs/>
          <w:color w:val="363636"/>
          <w:sz w:val="36"/>
          <w:szCs w:val="36"/>
          <w:bdr w:val="none" w:sz="0" w:space="0" w:color="auto" w:frame="1"/>
          <w:lang w:val="ru-RU" w:eastAsia="ru-RU" w:bidi="ar-SA"/>
        </w:rPr>
        <w:br/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зі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змінами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 xml:space="preserve"> та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36"/>
          <w:lang w:val="ru-RU" w:eastAsia="ru-RU" w:bidi="ar-SA"/>
        </w:rPr>
        <w:t>доповненнями</w:t>
      </w:r>
      <w:proofErr w:type="spellEnd"/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Arial" w:eastAsia="Times New Roman" w:hAnsi="Arial" w:cs="Arial"/>
          <w:color w:val="363636"/>
          <w:lang w:val="ru-RU" w:eastAsia="ru-RU" w:bidi="ar-SA"/>
        </w:rPr>
        <w:t> </w:t>
      </w:r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1.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Загальні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положення</w:t>
      </w:r>
      <w:proofErr w:type="spellEnd"/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1.1. Заклад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№ 42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–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комунальний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раннього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ідпорядкований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управлінню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Ужгородської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ради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1.2. ЗДО № 32,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організовуючи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керується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ст. 5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Конституції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ст. 61 Закону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«Про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», ст. 22 п. 4 Закону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«Про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»,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Постановою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Кабінету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стр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№ 796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27.08.2010 р. «Про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затвердження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можуть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надаватися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державними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навчальними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закладами»,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спільним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наказом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Міністерства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науки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Міністерства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фінансів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Міністерства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економіки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№ 736/902/758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23.07.2010 р. «Про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затвердження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порядків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державними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комунальними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навчальними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закладами», ст. 26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Положення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навчальний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затвердженого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постановою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Кабінету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стр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12.03.2003 р. № 305,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власним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Статутом,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інструктивно-методичним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листом МОН «Про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організацію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навчальних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закладах» № 1/9-813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15.11.2013 р.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1.3.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визначені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Базовим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компонентом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направлені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реалізацію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таких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завдань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розширення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спектру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формування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особистісних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якостей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розвитку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творчих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здібностей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нахилі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spellEnd"/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активне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впровадження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інноваційних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технологій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процес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акцентування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обдарованості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особистості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необмеженості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своєму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розвитку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особливостей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задоволення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потреб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цікавості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певного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виду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діяльності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виявлення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створення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найсприятливіших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умов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розквіту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самовираження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самореалізації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кожного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індивіда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кваліфікованої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допомоги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корекції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недоліків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розвитку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дитини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збагачення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ігрового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розвивального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середовища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збагачення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матер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іально-технічної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бази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закладу.</w:t>
      </w:r>
    </w:p>
    <w:p w:rsid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2.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Види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додаткових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освітніх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послуг</w:t>
      </w:r>
      <w:proofErr w:type="spellEnd"/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2.1.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послугами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,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є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заняття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гуртках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освітньої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діяльності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пов’язаних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поглибленим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інтелектуальним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естетичним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фізичним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розвитком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підготовкою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школі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вищевказаного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відносяться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гурток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навчання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хореографії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гурток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вивчення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англ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ійської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мови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2.2.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Види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можуть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розширені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попиту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бажання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spellEnd"/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2.3.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ідставою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конкретного виду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є: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заяви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spellEnd"/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де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перераховано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види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кількість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вони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мають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отримати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двосторонній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договір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3.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Організаційно-правові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засади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додаткових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освітніх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платних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послуг</w:t>
      </w:r>
      <w:proofErr w:type="spellEnd"/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3.1.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визначені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Базовим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компонентом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вводяться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лише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бажанням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дитини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юридичних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осіб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на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основі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угоди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між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батьками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особами,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замінюють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закладом у межах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гранично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допустимого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навантаження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дитини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визначеного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Міністерством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науки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разом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Міністерством</w:t>
      </w:r>
      <w:proofErr w:type="spellEnd"/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охорони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здоров’я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3.2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.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залучаються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особи,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мають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вищу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педагогічну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середню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спец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іальну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забезпечують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результативність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якість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роботи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також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мають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фізичний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психічний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стан,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дозволяє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виконувати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професійні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обов’язки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3.3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.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залучаються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педагогічні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працівники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закладу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наявності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необхідної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кваліфікації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спеціалісти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фаху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(на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ідставі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трудового договору).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3.4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Відмова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осіб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замінюють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запропонованих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може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ідставою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відрахування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дитини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4.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Визначення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вартості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додаткових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освітніх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платних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послуг</w:t>
      </w:r>
      <w:proofErr w:type="spellEnd"/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4.1.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Встановлення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вартості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освітньої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здійснюється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базі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економічно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обґрунтованих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пов’язаних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обрахованих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 порядку,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передбаченому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наказом № 736/902/758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23.07.2010 р.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lastRenderedPageBreak/>
        <w:t xml:space="preserve">4.2. Оплата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здійснюється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батьківські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кошти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калькуляції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безготівковому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порядку.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4.3. Базою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визначення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вартості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є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розрахунок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валових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пов’язаних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 оплату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праці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матер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іальні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необхідні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забезпечення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освітнього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процесу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проведення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поточного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ремонту 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технічного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обслуговування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основних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фондів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що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використовуються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для занять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амортизація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основних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фондів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що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використовуються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для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занять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гуртках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для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інших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на оплату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комунальних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4.4.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вартості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окрім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зазначених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витрат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включаються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також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обов’язкові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податки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відрахування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платежі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чинного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законодавства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06A95" w:rsidRPr="00606A95" w:rsidRDefault="00606A95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5.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Організація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оплати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додаткових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освітніх</w:t>
      </w:r>
      <w:proofErr w:type="spellEnd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послуг</w:t>
      </w:r>
      <w:proofErr w:type="spellEnd"/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5.1. Батьки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відвідували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поважних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причин (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хвороба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щорічна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відпустка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)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упродовж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місяця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та батьки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дітей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вибули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тимчасово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поважних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причин по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заяві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вносять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плату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5.2.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Якщо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не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відвідують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заняття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без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поважних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причин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упродовж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місяця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батьки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вносять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100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відсоткову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оплату,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якщо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бажають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зберегти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місце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послугами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5.3.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разі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тимчасового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призупинення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діяльності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закладу (за наказом УО, карантину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тощо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) плата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вноситься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вимог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чинного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законодавства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України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обов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’язковим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відпрацюванням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пропущених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 час простою годин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керівниками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по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ДОПП.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5.4.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Батьківська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плата за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</w:t>
      </w:r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х</w:t>
      </w:r>
      <w:proofErr w:type="spellEnd"/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="00CE4CF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вноситься до 1</w:t>
      </w: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0 числа кожного </w:t>
      </w:r>
      <w:proofErr w:type="spellStart"/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</w:t>
      </w:r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ісяця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незалежно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кількості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днів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коли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дитина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відвідує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дошкільний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606A95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5.5.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Розмі</w:t>
      </w:r>
      <w:proofErr w:type="gram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</w:t>
      </w:r>
      <w:proofErr w:type="spellEnd"/>
      <w:proofErr w:type="gram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плати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може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змінюватись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зв’язку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інфляційними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процесами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зміною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тарифів</w:t>
      </w:r>
      <w:proofErr w:type="spellEnd"/>
      <w:r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CE4CF6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5.6</w:t>
      </w:r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Відповідальність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організацію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платних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несуть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вихователі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керівники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гуртків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вихователь-методист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директор закладу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CE4CF6" w:rsidRDefault="00CE4CF6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CE4CF6" w:rsidRDefault="00CE4CF6" w:rsidP="00606A95">
      <w:pPr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</w:pPr>
    </w:p>
    <w:p w:rsidR="00606A95" w:rsidRPr="00606A95" w:rsidRDefault="00CE4CF6" w:rsidP="00606A95">
      <w:p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lastRenderedPageBreak/>
        <w:t>6</w:t>
      </w:r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. Контроль за </w:t>
      </w:r>
      <w:proofErr w:type="spellStart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наданням</w:t>
      </w:r>
      <w:proofErr w:type="spellEnd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додаткових</w:t>
      </w:r>
      <w:proofErr w:type="spellEnd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освітніх</w:t>
      </w:r>
      <w:proofErr w:type="spellEnd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платних</w:t>
      </w:r>
      <w:proofErr w:type="spellEnd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val="ru-RU" w:eastAsia="ru-RU" w:bidi="ar-SA"/>
        </w:rPr>
        <w:t>послуг</w:t>
      </w:r>
      <w:proofErr w:type="spellEnd"/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CE4CF6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6</w:t>
      </w:r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1.</w:t>
      </w:r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Контроль за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якістю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надання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додаткових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освітніх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послуг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здійснюється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керівником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закладу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дошкільної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освіти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вихователем-методистом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відповідно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посадових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обов’язкі</w:t>
      </w:r>
      <w:proofErr w:type="gram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spellEnd"/>
      <w:proofErr w:type="gram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E4CF6" w:rsidRDefault="00CE4CF6" w:rsidP="00606A95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</w:pPr>
    </w:p>
    <w:p w:rsidR="00606A95" w:rsidRPr="00606A95" w:rsidRDefault="00CE4CF6" w:rsidP="00606A95">
      <w:p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6.2.</w:t>
      </w:r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Державний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контроль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здійснюється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управлінням</w:t>
      </w:r>
      <w:proofErr w:type="spell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ос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віти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Ужгородської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ради</w:t>
      </w:r>
      <w:proofErr w:type="gramEnd"/>
      <w:r w:rsidR="00606A95" w:rsidRPr="00606A9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. </w:t>
      </w:r>
    </w:p>
    <w:p w:rsidR="00E941C3" w:rsidRPr="00606A95" w:rsidRDefault="00E941C3">
      <w:pPr>
        <w:rPr>
          <w:lang w:val="ru-RU"/>
        </w:rPr>
      </w:pPr>
    </w:p>
    <w:sectPr w:rsidR="00E941C3" w:rsidRPr="00606A95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1A"/>
    <w:rsid w:val="000A17C0"/>
    <w:rsid w:val="001256C4"/>
    <w:rsid w:val="001D7ABC"/>
    <w:rsid w:val="00220420"/>
    <w:rsid w:val="002817E8"/>
    <w:rsid w:val="00606A95"/>
    <w:rsid w:val="00612A7A"/>
    <w:rsid w:val="006B451A"/>
    <w:rsid w:val="00775161"/>
    <w:rsid w:val="008D18E7"/>
    <w:rsid w:val="009D3D46"/>
    <w:rsid w:val="00A27ED1"/>
    <w:rsid w:val="00AB6AB0"/>
    <w:rsid w:val="00C052DB"/>
    <w:rsid w:val="00CE4CF6"/>
    <w:rsid w:val="00D73F32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B451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794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5537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2019-10-24T10:49:00Z</dcterms:created>
  <dcterms:modified xsi:type="dcterms:W3CDTF">2019-10-24T11:13:00Z</dcterms:modified>
</cp:coreProperties>
</file>